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SCHEDA TECNICA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Istituto Professionale Statale “Cattaneo-Deledda” – Modena</w:t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scheda tecnica deve essere compilata per tutti i capi che compongono l’outfit. </w:t>
      </w:r>
    </w:p>
    <w:p w:rsidR="00000000" w:rsidDel="00000000" w:rsidP="00000000" w:rsidRDefault="00000000" w:rsidRPr="00000000" w14:paraId="0000000B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L’impaginazione è libera e deve riportare tutte le voci elencate.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TIPOLOGIA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TESSUTO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ETICHETTA DI COMPOSIZIONE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ETICHETTA DI MANUTENZIONE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DESCRIZIONE DEL CAPO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MATERIALI E ACCESSORI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NOTE TECNICHE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ENTITA' CUCITURE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generali e particolari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ORLI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 DI CUCITURE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IMPUNTURE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RIFINITURE 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ACCESSORI PER L'ASSEMBLAGGIO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ALTRO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75.0" w:type="dxa"/>
        <w:tblLayout w:type="fixed"/>
        <w:tblLook w:val="0400"/>
      </w:tblPr>
      <w:tblGrid>
        <w:gridCol w:w="4815"/>
        <w:gridCol w:w="5355"/>
        <w:tblGridChange w:id="0">
          <w:tblGrid>
            <w:gridCol w:w="4815"/>
            <w:gridCol w:w="535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2327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426" w:top="56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after="0" w:line="240" w:lineRule="auto"/>
      <w:jc w:val="center"/>
      <w:rPr>
        <w:b w:val="1"/>
        <w:color w:val="222222"/>
        <w:sz w:val="32"/>
        <w:szCs w:val="32"/>
      </w:rPr>
    </w:pPr>
    <w:r w:rsidDel="00000000" w:rsidR="00000000" w:rsidRPr="00000000">
      <w:rPr>
        <w:b w:val="1"/>
        <w:color w:val="222222"/>
        <w:sz w:val="32"/>
        <w:szCs w:val="32"/>
        <w:rtl w:val="0"/>
      </w:rPr>
      <w:t xml:space="preserve">LA MODA CONTRO LA VIOLENZA SULLE DONNE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5772150</wp:posOffset>
          </wp:positionH>
          <wp:positionV relativeFrom="paragraph">
            <wp:posOffset>-228598</wp:posOffset>
          </wp:positionV>
          <wp:extent cx="813825" cy="79560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3825" cy="795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-209548</wp:posOffset>
          </wp:positionH>
          <wp:positionV relativeFrom="paragraph">
            <wp:posOffset>-166686</wp:posOffset>
          </wp:positionV>
          <wp:extent cx="1290638" cy="6808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680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spacing w:after="0" w:line="240" w:lineRule="auto"/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Premio nazionale in ricordo di Renata Alexandra Trandafir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