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75" w:rsidRDefault="00F11163">
      <w:pPr>
        <w:shd w:val="clear" w:color="auto" w:fill="EEECE1" w:themeFill="background2"/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NUCLEI FONDANTI DELLA DISCIPLINA DI MATEMATICA</w:t>
      </w:r>
    </w:p>
    <w:p w:rsidR="008D0375" w:rsidRDefault="00F11163">
      <w:pPr>
        <w:shd w:val="clear" w:color="auto" w:fill="EEECE1" w:themeFill="background2"/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ASSE MATEMATICO</w:t>
      </w: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  <w:t>CLASSE PRIMA</w:t>
      </w: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>Servizi Commerciali, Servizi per la Sanità e l’Assistenza Sociale, Industria e Artigianato per il Made in Italy</w:t>
      </w:r>
    </w:p>
    <w:p w:rsidR="008D0375" w:rsidRDefault="008D0375">
      <w:pPr>
        <w:tabs>
          <w:tab w:val="left" w:pos="2330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UdA 8</w:t>
      </w:r>
      <w:r>
        <w:rPr>
          <w:rFonts w:asciiTheme="minorHAnsi" w:hAnsiTheme="minorHAnsi" w:cstheme="minorHAnsi"/>
          <w:b/>
          <w:bCs/>
          <w:sz w:val="24"/>
          <w:szCs w:val="24"/>
        </w:rPr>
        <w:t>.1 – Insiemi numerici: N e Z</w:t>
      </w:r>
    </w:p>
    <w:p w:rsidR="008D0375" w:rsidRDefault="00F11163">
      <w:pPr>
        <w:pStyle w:val="Paragrafoelenco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 xml:space="preserve">Operazioni, </w:t>
      </w:r>
      <w:r>
        <w:rPr>
          <w:rFonts w:asciiTheme="minorHAnsi" w:eastAsia="Times New Roman" w:hAnsiTheme="minorHAnsi" w:cstheme="minorHAnsi"/>
          <w:lang w:val="it-IT"/>
        </w:rPr>
        <w:t>proprietà e ordinamento in N e in Z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Rappresentazione grafica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Potenze e proprietà delle potenze con esponente sia positivo che negativo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Espressioni numeriche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8.2 Insiemi numerici: Q e R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Operazioni, proprietà e ordinamento in Q (e in R)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Rappresentazione grafica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Percentuali, problemi con le percentuali e legame tra percentuali e frazioni decimali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Espressioni numeriche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8.3 – Geometria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Nozioni fondamentali di geometria nel piano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Il piano euclideo: relazioni tra rette, congru</w:t>
      </w:r>
      <w:r>
        <w:rPr>
          <w:rFonts w:asciiTheme="minorHAnsi" w:eastAsia="Times New Roman" w:hAnsiTheme="minorHAnsi" w:cstheme="minorHAnsi"/>
          <w:lang w:val="it-IT"/>
        </w:rPr>
        <w:t>enza di figure, poligoni e loro proprietà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Misure di grandezza: grandezze incommensurabili; perimetro e area dei poligoni regolari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Nozioni fondamentali di geometria nello spazio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8.4 – Statistica descrittiva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Fasi di un’indagine statistica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Fr</w:t>
      </w:r>
      <w:r>
        <w:rPr>
          <w:rFonts w:asciiTheme="minorHAnsi" w:eastAsia="Times New Roman" w:hAnsiTheme="minorHAnsi" w:cstheme="minorHAnsi"/>
          <w:lang w:val="it-IT"/>
        </w:rPr>
        <w:t>equenza assoluta e relativa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Rappresentazione grafica dei dati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Indici di posizione centrale</w:t>
      </w:r>
    </w:p>
    <w:p w:rsidR="008D0375" w:rsidRDefault="008D0375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8.5 – Espressioni algebriche e polinomi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Monomi: monomi simili, grado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lastRenderedPageBreak/>
        <w:t xml:space="preserve">Addizione, sottrazione, moltiplicazione, divisione ed elevamento a potenza di </w:t>
      </w:r>
      <w:r>
        <w:rPr>
          <w:rFonts w:asciiTheme="minorHAnsi" w:eastAsia="Times New Roman" w:hAnsiTheme="minorHAnsi" w:cstheme="minorHAnsi"/>
          <w:lang w:val="it-IT"/>
        </w:rPr>
        <w:t>monomi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Polinomi: polinomi ordinati, grado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Addizione, sottrazione, moltiplicazione di polinomi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Espressioni e problemi con i polinomi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8.6 – Prodotti notevoli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Quadrato di binomio, somma per differenza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Espressioni con i prodotti notevoli</w:t>
      </w:r>
    </w:p>
    <w:p w:rsidR="008D0375" w:rsidRDefault="00F11163">
      <w:pP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u w:val="single"/>
        </w:rPr>
      </w:pPr>
      <w:r>
        <w:br w:type="page"/>
      </w: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  <w:lastRenderedPageBreak/>
        <w:t>CLASSE SECONDA</w:t>
      </w: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>Servizi Commerciali, Servizi per la Sanità e l’Assistenza Sociale, Industria e Artigianato per il Made in Italy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8.7 – Equazioni di 1° grado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Equazioni lineari numeriche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Soluzioni di un’equazione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Principi di equivalenza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Equazi</w:t>
      </w:r>
      <w:r>
        <w:rPr>
          <w:rFonts w:asciiTheme="minorHAnsi" w:eastAsia="Times New Roman" w:hAnsiTheme="minorHAnsi" w:cstheme="minorHAnsi"/>
          <w:lang w:val="it-IT"/>
        </w:rPr>
        <w:t>oni determinate, indeterminate, impossibili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Problemi, anche geometrici, formalizzabili con un’equazione lineare: analisi e decodifica del testo, scelta dell’incognita, costruzione del modello matematico, risoluzione dell’equazione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8.8 – Il Metodo </w:t>
      </w:r>
      <w:r>
        <w:rPr>
          <w:rFonts w:asciiTheme="minorHAnsi" w:hAnsiTheme="minorHAnsi" w:cstheme="minorHAnsi"/>
          <w:b/>
          <w:bCs/>
          <w:sz w:val="24"/>
          <w:szCs w:val="24"/>
        </w:rPr>
        <w:t>delle Coordinate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Sistema di riferimento cartesiano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="Calibri" w:eastAsia="Times New Roman" w:hAnsi="Calibri" w:cstheme="minorHAnsi"/>
          <w:lang w:val="it-IT"/>
        </w:rPr>
        <w:t>Lunghezza e punto medio di un segmento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="Calibri" w:eastAsia="Times New Roman" w:hAnsi="Calibri" w:cstheme="minorHAnsi"/>
          <w:lang w:val="it-IT"/>
        </w:rPr>
        <w:t>Semplici problemi di geometria analitica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8.9 – Rette nel Piano Cartesiano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Equazione implicita ed esplicita di una retta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 xml:space="preserve">Rappresentazione </w:t>
      </w:r>
      <w:r>
        <w:rPr>
          <w:rFonts w:asciiTheme="minorHAnsi" w:eastAsia="Times New Roman" w:hAnsiTheme="minorHAnsi" w:cstheme="minorHAnsi"/>
          <w:lang w:val="it-IT"/>
        </w:rPr>
        <w:t>grafica di una retta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Condizioni di parallelismo e di perpendicolarità tra rette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Retta passante per un punto e parallela o perpendicolare a un’altra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8.10 – Circonferenza, Cerchio e Solidi di Rotazione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="Calibri" w:eastAsia="Times New Roman" w:hAnsi="Calibri" w:cstheme="minorHAnsi"/>
          <w:lang w:val="it-IT"/>
        </w:rPr>
        <w:t>Rappresentare figure riconducibili alla</w:t>
      </w:r>
      <w:r>
        <w:rPr>
          <w:rFonts w:ascii="Calibri" w:eastAsia="Times New Roman" w:hAnsi="Calibri" w:cstheme="minorHAnsi"/>
          <w:lang w:val="it-IT"/>
        </w:rPr>
        <w:t xml:space="preserve"> circonferenza, al cerchio e alle loro parti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="Calibri" w:eastAsia="Times New Roman" w:hAnsi="Calibri" w:cstheme="minorHAnsi"/>
          <w:lang w:val="it-IT"/>
        </w:rPr>
        <w:t>Misurare la lunghezza della circonferenza e l’area del cerchio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Riconoscere i solidi di rotazione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eastAsia="Times New Roman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8.11 – Probabilità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Avvenimenti casuali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Eventi semplici, casi possibili e casi favorevoli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Definizione di probabilità e formula nel caso di un evento semplice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Valori della probabilità e loro espressione come decimale e in percentuale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Eventi certi, impossibili, complementari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Eventi composti, compatibili, incompatibili</w:t>
      </w:r>
    </w:p>
    <w:p w:rsidR="008D0375" w:rsidRDefault="008D0375">
      <w:pPr>
        <w:pStyle w:val="Normale1"/>
        <w:spacing w:line="276" w:lineRule="auto"/>
        <w:ind w:left="175"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Equazioni di 2° grado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lastRenderedPageBreak/>
        <w:t>L’insieme dei numeri reali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Radicali aritmetici: simboli e valore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Equazioni di 2° grado numeriche intere.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Classificazione di un’equazione di 2° grado: equazioni complete ed incomplete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widowControl w:val="0"/>
        <w:ind w:left="134" w:right="387" w:hanging="6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TESTI DI RIFERIMENTO PER IL BIENNIO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:rsidR="008D0375" w:rsidRDefault="00F11163">
      <w:pPr>
        <w:widowControl w:val="0"/>
        <w:ind w:left="134" w:right="387" w:hanging="6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Colori della Matematica Edizione bianca, vol. 1 e 2; </w:t>
      </w:r>
      <w:r>
        <w:rPr>
          <w:rFonts w:asciiTheme="minorHAnsi" w:eastAsia="Verdana" w:hAnsiTheme="minorHAnsi" w:cstheme="minorHAnsi"/>
          <w:i/>
          <w:iCs/>
          <w:color w:val="000000"/>
          <w:sz w:val="24"/>
          <w:szCs w:val="24"/>
        </w:rPr>
        <w:t xml:space="preserve">L. Sasso – I. Fragni, 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Petrini</w:t>
      </w:r>
    </w:p>
    <w:p w:rsidR="008D0375" w:rsidRDefault="00F11163">
      <w:pPr>
        <w:widowControl w:val="0"/>
        <w:ind w:left="134" w:right="387" w:hanging="6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Facciamo Matematica con semplicità, vol. 1; V. Scannavini, Zanichelli</w:t>
      </w:r>
    </w:p>
    <w:p w:rsidR="008D0375" w:rsidRDefault="00F11163">
      <w:pP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u w:val="single"/>
        </w:rPr>
      </w:pPr>
      <w:r>
        <w:br w:type="page"/>
      </w: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  <w:lastRenderedPageBreak/>
        <w:t>CLASSE TERZA</w:t>
      </w:r>
    </w:p>
    <w:p w:rsidR="008D0375" w:rsidRDefault="00F11163">
      <w:pPr>
        <w:tabs>
          <w:tab w:val="left" w:pos="2330"/>
        </w:tabs>
        <w:ind w:right="49"/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 xml:space="preserve">Servizi Commerciali, Servizi per la Sanità e l’Assistenza Sociale, Industria e </w:t>
      </w: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>Artigianato per il Made in Italy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 – Sistemi Lineari con Interpretazione Geometrica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Sistemi lineari di due equazioni in due incognite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Metodo di sostituzione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Sistemi determinati, indeterminati, impossibili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 xml:space="preserve">Interpretazione grafica di un </w:t>
      </w:r>
      <w:r>
        <w:rPr>
          <w:rFonts w:asciiTheme="minorHAnsi" w:eastAsia="Times New Roman" w:hAnsiTheme="minorHAnsi" w:cstheme="minorHAnsi"/>
          <w:lang w:val="it-IT"/>
        </w:rPr>
        <w:t>sistema e posizione reciproca di due rette e tra una retta e gli assi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eastAsia="Times New Roman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8.2 – Parabola e Intersezione Parabola/Retta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Equazione di una parabola con asse parallelo all’asse y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Vertice ed asse di simmetria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Intersezioni con gli assi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Rappresentazi</w:t>
      </w:r>
      <w:r>
        <w:rPr>
          <w:rFonts w:asciiTheme="minorHAnsi" w:eastAsia="Times New Roman" w:hAnsiTheme="minorHAnsi" w:cstheme="minorHAnsi"/>
          <w:lang w:val="it-IT"/>
        </w:rPr>
        <w:t>one grafica di una parabola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Caratteristiche di una parabola di equazione o grafico dati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Sistemi di 2° grado di due equazioni in due incognite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Metodo di sostituzione per i sistemi di 2° grado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Interpretazione grafica di un sistema di 2° grado e posizione rec</w:t>
      </w:r>
      <w:r>
        <w:rPr>
          <w:rFonts w:asciiTheme="minorHAnsi" w:eastAsia="Times New Roman" w:hAnsiTheme="minorHAnsi" w:cstheme="minorHAnsi"/>
          <w:lang w:val="it-IT"/>
        </w:rPr>
        <w:t>iproca tra retta e parabola</w:t>
      </w:r>
    </w:p>
    <w:p w:rsidR="008D0375" w:rsidRDefault="008D0375">
      <w:pPr>
        <w:pStyle w:val="Normale1"/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8.3 – Scomposizioni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Raccoglimento totale e parziale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Inverso dei prodotti notevoli quadrato di binomio e somma per differenza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Trinomio caratteristico di 2° grado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8.4 – Disequazioni Intere di Primo e Secondo </w:t>
      </w:r>
      <w:r>
        <w:rPr>
          <w:rFonts w:asciiTheme="minorHAnsi" w:hAnsiTheme="minorHAnsi" w:cstheme="minorHAnsi"/>
          <w:b/>
          <w:bCs/>
          <w:sz w:val="24"/>
          <w:szCs w:val="24"/>
        </w:rPr>
        <w:t>Grado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Intervalli limitati e illimitati, chiusi e aperti in R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Principi di equivalenza delle disuguaglianze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Insieme soluzione di una disequazione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Disequazioni intere di primo grado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="Calibri" w:eastAsia="Times New Roman" w:hAnsi="Calibri" w:cstheme="minorHAnsi"/>
          <w:lang w:val="it-IT"/>
        </w:rPr>
        <w:t>Disequazioni intere di secondo grado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8.5 – Disequazioni frat</w:t>
      </w:r>
      <w:r>
        <w:rPr>
          <w:rFonts w:asciiTheme="minorHAnsi" w:hAnsiTheme="minorHAnsi" w:cstheme="minorHAnsi"/>
          <w:b/>
          <w:bCs/>
          <w:sz w:val="24"/>
          <w:szCs w:val="24"/>
        </w:rPr>
        <w:t>te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Frazioni algebriche e condizioni di esistenza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Addizione algebrica di frazioni algebriche</w:t>
      </w:r>
    </w:p>
    <w:p w:rsidR="008D0375" w:rsidRDefault="00F11163">
      <w:pPr>
        <w:pStyle w:val="Normale1"/>
        <w:numPr>
          <w:ilvl w:val="0"/>
          <w:numId w:val="2"/>
        </w:numPr>
        <w:tabs>
          <w:tab w:val="left" w:pos="175"/>
        </w:tabs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Disequazioni numeriche fratte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eastAsia="Times New Roman" w:hAnsiTheme="minorHAnsi" w:cstheme="minorHAnsi"/>
          <w:lang w:val="it-IT"/>
        </w:rPr>
      </w:pP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  <w:t>CLASSE QUARTA</w:t>
      </w:r>
    </w:p>
    <w:p w:rsidR="008D0375" w:rsidRDefault="00F11163">
      <w:pPr>
        <w:tabs>
          <w:tab w:val="left" w:pos="2330"/>
        </w:tabs>
        <w:ind w:right="49"/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lastRenderedPageBreak/>
        <w:t xml:space="preserve">Servizi Commerciali, Servizi per la Sanità e l’Assistenza Sociale, Industria e Artigianato per il Made in </w:t>
      </w: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>Italy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UdA</w:t>
      </w:r>
      <w:bookmarkStart w:id="1" w:name="_Hlk138674735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8.7 – Disequazioni intere di primo e secondo grado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Intervalli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Disequazioni intere di primo e secondo grado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Problemi formalizzabili con una disequazione di primo o secondo grado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8.8 – Disequazioni di grado superiore al secondo, </w:t>
      </w:r>
      <w:r>
        <w:rPr>
          <w:rFonts w:asciiTheme="minorHAnsi" w:hAnsiTheme="minorHAnsi" w:cstheme="minorHAnsi"/>
          <w:b/>
          <w:bCs/>
          <w:sz w:val="24"/>
          <w:szCs w:val="24"/>
        </w:rPr>
        <w:t>fratte e sistemi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Disequazioni intere di grado superiore al secondo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Disequazioni fratte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Soluzione di un sistema e sistemi di disequazioni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Problemi formalizzabili con disequazioni di grado superiore al secondo, disequazioni fratte e sistemi di di</w:t>
      </w:r>
      <w:r>
        <w:rPr>
          <w:rFonts w:asciiTheme="minorHAnsi" w:eastAsia="Times New Roman" w:hAnsiTheme="minorHAnsi" w:cstheme="minorHAnsi"/>
          <w:lang w:val="it-IT"/>
        </w:rPr>
        <w:t>sequazioni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UdA 8.9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Funzione reale di variabile reale (lettura del grafico)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Funzione fra due insiemi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Funzione reale di variabile reale: definizione e classificazione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Dominio e codominio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Grafico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Funzioni pari e </w:t>
      </w:r>
      <w:r>
        <w:rPr>
          <w:rFonts w:asciiTheme="minorHAnsi" w:eastAsia="Times New Roman" w:hAnsiTheme="minorHAnsi" w:cstheme="minorHAnsi"/>
        </w:rPr>
        <w:t>dispari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Funzioni crescenti e decrescenti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Intersezioni di una funzione con gli assi cartesiani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Insieme di positività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Massimi e minimi relativi e assoluti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Problemi che richiedono la lettura del grafico di una funzione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8.10 – Funzione </w:t>
      </w:r>
      <w:r>
        <w:rPr>
          <w:rFonts w:asciiTheme="minorHAnsi" w:hAnsiTheme="minorHAnsi" w:cstheme="minorHAnsi"/>
          <w:b/>
          <w:bCs/>
          <w:sz w:val="24"/>
          <w:szCs w:val="24"/>
        </w:rPr>
        <w:t>reale di variabile reale (costruzione del grafico)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Calcolo del dominio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Calcolo delle intersezioni di una funzione con gli assi cartesiani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Studio del segno di una funzione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8.11 – Funzione esponenziale e funzione logaritmica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Potenze con esponente razionale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La funzione esponenziale e le sue caratteristiche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Equazioni esponenziali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Disequazioni esponenziali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Definizione e valore di un logaritmo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La funzione logaritmica e le sue caratteristiche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Problemi che richiedono la </w:t>
      </w:r>
      <w:r>
        <w:rPr>
          <w:rFonts w:asciiTheme="minorHAnsi" w:eastAsia="Times New Roman" w:hAnsiTheme="minorHAnsi" w:cstheme="minorHAnsi"/>
        </w:rPr>
        <w:t>lettura del grafico di una funzione trascendente</w:t>
      </w:r>
    </w:p>
    <w:bookmarkEnd w:id="1"/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8D0375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8D0375" w:rsidRDefault="00F11163">
      <w:pPr>
        <w:tabs>
          <w:tab w:val="left" w:pos="2330"/>
        </w:tabs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  <w:t>CLASSE QUINTA</w:t>
      </w:r>
    </w:p>
    <w:p w:rsidR="008D0375" w:rsidRDefault="00F11163">
      <w:pPr>
        <w:tabs>
          <w:tab w:val="left" w:pos="2330"/>
        </w:tabs>
        <w:ind w:right="49"/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</w:rPr>
        <w:t>Servizi Commerciali, Servizi per la Sanità e l’Assistenza Sociale, Industria e Artigianato per il Made in Italy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UdA 8.13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Funzione Reale di V</w:t>
      </w:r>
      <w:r>
        <w:rPr>
          <w:rFonts w:asciiTheme="minorHAnsi" w:hAnsiTheme="minorHAnsi" w:cstheme="minorHAnsi"/>
          <w:b/>
          <w:bCs/>
          <w:sz w:val="24"/>
          <w:szCs w:val="24"/>
        </w:rPr>
        <w:t>ariabile Reale (ripasso/approfondimento)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Funzione fra due insiemi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Funzione reale di variabile reale: definizione e classificazione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Dominio e codominio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Funzioni iniettive, suriettive e biunivoche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Funzioni pari e dispari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Funzioni </w:t>
      </w:r>
      <w:r>
        <w:rPr>
          <w:rFonts w:asciiTheme="minorHAnsi" w:eastAsia="Times New Roman" w:hAnsiTheme="minorHAnsi" w:cstheme="minorHAnsi"/>
        </w:rPr>
        <w:t>crescenti e decrescenti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Intersezioni di una funzione con gli assi cartesiani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Insieme di positività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Massimi e minimi relativi e assoluti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Grafico di una funzione: dominio, insieme immagine, l’iniettività, le eventuali simmetrie, le </w:t>
      </w:r>
      <w:r>
        <w:rPr>
          <w:rFonts w:asciiTheme="minorHAnsi" w:eastAsia="Times New Roman" w:hAnsiTheme="minorHAnsi" w:cstheme="minorHAnsi"/>
        </w:rPr>
        <w:t>intersezioni con gli assi, il segno, gli intervalli di crescenza e decrescenza, i punti di massimo e minimo relativi e assoluti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8.14 – Limiti di Funzioni e Continuità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Intorno di un punto e dell’infinito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Significato intuitivo di limite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Limi</w:t>
      </w:r>
      <w:r>
        <w:rPr>
          <w:rFonts w:asciiTheme="minorHAnsi" w:eastAsia="Times New Roman" w:hAnsiTheme="minorHAnsi" w:cstheme="minorHAnsi"/>
        </w:rPr>
        <w:t>te finito ed infinito di una funzione in un punto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Limite destro e sinistro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Limite finito e infinito di una funzione all’infinito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Definizione di funzione continua in un punto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Continuità delle funzioni elementari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Discontinuità di prima, seconda, terza specie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Operazione sui limiti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Limiti che si presentano in forma indeterminata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Gli asintoti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Applicazione dei limiti alla rappresentazione grafica: asintoti orizzontali, verticali e obliqui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UdA 8.15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Studio di funzioni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Schema generale per lo studio di</w:t>
      </w:r>
      <w:r>
        <w:rPr>
          <w:rFonts w:asciiTheme="minorHAnsi" w:eastAsia="Times New Roman" w:hAnsiTheme="minorHAnsi" w:cstheme="minorHAnsi"/>
        </w:rPr>
        <w:t xml:space="preserve"> una funzione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shd w:val="clear" w:color="auto" w:fill="EEECE1" w:themeFill="background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UdA </w:t>
      </w:r>
      <w:r>
        <w:rPr>
          <w:rFonts w:asciiTheme="minorHAnsi" w:hAnsiTheme="minorHAnsi" w:cstheme="minorHAnsi"/>
          <w:b/>
          <w:bCs/>
          <w:sz w:val="24"/>
          <w:szCs w:val="24"/>
        </w:rPr>
        <w:t>8.16 – Derivata di una funzione</w:t>
      </w:r>
    </w:p>
    <w:p w:rsidR="008D0375" w:rsidRDefault="00F11163">
      <w:pPr>
        <w:pStyle w:val="Paragrafoelenco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A"/>
          <w:sz w:val="24"/>
          <w:szCs w:val="24"/>
        </w:rPr>
      </w:pPr>
      <w:r>
        <w:rPr>
          <w:rFonts w:asciiTheme="minorHAnsi" w:hAnsiTheme="minorHAnsi" w:cstheme="minorHAnsi"/>
          <w:b/>
          <w:color w:val="00000A"/>
          <w:sz w:val="24"/>
          <w:szCs w:val="24"/>
          <w:u w:val="single"/>
        </w:rPr>
        <w:t>Conoscenze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: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Rapporto incrementale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Derivata di una funzione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Significato geometrico di derivata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Continuità e derivabilità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Derivate di alcune funzioni elementari</w:t>
      </w:r>
    </w:p>
    <w:p w:rsidR="008D0375" w:rsidRDefault="00F11163">
      <w:pPr>
        <w:pStyle w:val="Normale1"/>
        <w:numPr>
          <w:ilvl w:val="0"/>
          <w:numId w:val="2"/>
        </w:numPr>
        <w:spacing w:line="276" w:lineRule="auto"/>
        <w:ind w:left="175" w:right="49" w:hanging="17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Teoremi sul calcolo delle derivate</w:t>
      </w:r>
    </w:p>
    <w:p w:rsidR="008D0375" w:rsidRDefault="008D0375">
      <w:pPr>
        <w:pStyle w:val="Normale1"/>
        <w:spacing w:line="276" w:lineRule="auto"/>
        <w:ind w:right="49"/>
        <w:rPr>
          <w:rFonts w:asciiTheme="minorHAnsi" w:hAnsiTheme="minorHAnsi" w:cstheme="minorHAnsi"/>
          <w:lang w:val="it-IT"/>
        </w:rPr>
      </w:pPr>
    </w:p>
    <w:p w:rsidR="008D0375" w:rsidRDefault="00F11163">
      <w:pPr>
        <w:widowControl w:val="0"/>
        <w:ind w:left="134" w:right="387" w:hanging="6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TESTI DI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RIFERIMENTO PER IL TRIENNIO:</w:t>
      </w:r>
    </w:p>
    <w:p w:rsidR="008D0375" w:rsidRDefault="00F11163">
      <w:pPr>
        <w:widowControl w:val="0"/>
        <w:ind w:left="134" w:right="387" w:hanging="6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Colori della Matematica Edizione bianca, vol. A; </w:t>
      </w:r>
      <w:r>
        <w:rPr>
          <w:rFonts w:asciiTheme="minorHAnsi" w:eastAsia="Verdana" w:hAnsiTheme="minorHAnsi" w:cstheme="minorHAnsi"/>
          <w:i/>
          <w:iCs/>
          <w:color w:val="000000"/>
          <w:sz w:val="24"/>
          <w:szCs w:val="24"/>
        </w:rPr>
        <w:t xml:space="preserve">L. Sasso – I. Fragni, 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Petrini</w:t>
      </w:r>
    </w:p>
    <w:p w:rsidR="008D0375" w:rsidRDefault="008D0375">
      <w:pPr>
        <w:widowControl w:val="0"/>
        <w:tabs>
          <w:tab w:val="right" w:pos="9600"/>
        </w:tabs>
        <w:ind w:left="134" w:right="387" w:hanging="6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D0375">
      <w:headerReference w:type="default" r:id="rId8"/>
      <w:headerReference w:type="first" r:id="rId9"/>
      <w:footerReference w:type="first" r:id="rId10"/>
      <w:pgSz w:w="11906" w:h="16838"/>
      <w:pgMar w:top="1440" w:right="1440" w:bottom="1440" w:left="566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63" w:rsidRDefault="00F11163">
      <w:pPr>
        <w:spacing w:line="240" w:lineRule="auto"/>
      </w:pPr>
      <w:r>
        <w:separator/>
      </w:r>
    </w:p>
  </w:endnote>
  <w:endnote w:type="continuationSeparator" w:id="0">
    <w:p w:rsidR="00F11163" w:rsidRDefault="00F11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75" w:rsidRDefault="008D0375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63" w:rsidRDefault="00F11163">
      <w:pPr>
        <w:spacing w:line="240" w:lineRule="auto"/>
      </w:pPr>
      <w:r>
        <w:separator/>
      </w:r>
    </w:p>
  </w:footnote>
  <w:footnote w:type="continuationSeparator" w:id="0">
    <w:p w:rsidR="00F11163" w:rsidRDefault="00F11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75" w:rsidRDefault="008D0375">
    <w:pPr>
      <w:pStyle w:val="LO-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75" w:rsidRDefault="00F11163">
    <w:pPr>
      <w:pStyle w:val="LO-normal"/>
    </w:pPr>
    <w:r>
      <w:rPr>
        <w:noProof/>
        <w:lang w:eastAsia="it-IT" w:bidi="ar-SA"/>
      </w:rPr>
      <w:drawing>
        <wp:inline distT="0" distB="0" distL="0" distR="0">
          <wp:extent cx="6285865" cy="13462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D1315"/>
    <w:multiLevelType w:val="multilevel"/>
    <w:tmpl w:val="980EC1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A"/>
        <w:position w:val="0"/>
        <w:sz w:val="18"/>
        <w:szCs w:val="18"/>
        <w:vertAlign w:val="baseline"/>
        <w:lang w:val="fr-FR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A"/>
        <w:position w:val="0"/>
        <w:sz w:val="18"/>
        <w:szCs w:val="18"/>
        <w:vertAlign w:val="baseline"/>
        <w:lang w:val="fr-FR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A"/>
        <w:position w:val="0"/>
        <w:sz w:val="18"/>
        <w:szCs w:val="18"/>
        <w:vertAlign w:val="baseline"/>
        <w:lang w:val="fr-FR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083026"/>
    <w:multiLevelType w:val="multilevel"/>
    <w:tmpl w:val="CEF292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0B2F0E"/>
    <w:multiLevelType w:val="multilevel"/>
    <w:tmpl w:val="B79451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75"/>
    <w:rsid w:val="006A04A1"/>
    <w:rsid w:val="008D0375"/>
    <w:rsid w:val="00F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2F2C4-5128-4557-867C-6F12124F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o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styleId="Paragrafoelenco">
    <w:name w:val="List Paragraph"/>
    <w:basedOn w:val="Normale"/>
    <w:qFormat/>
    <w:pPr>
      <w:spacing w:after="160"/>
      <w:ind w:left="720"/>
      <w:contextualSpacing/>
    </w:pPr>
  </w:style>
  <w:style w:type="paragraph" w:customStyle="1" w:styleId="Normale1">
    <w:name w:val="Normale1"/>
    <w:qFormat/>
    <w:rPr>
      <w:rFonts w:ascii="Liberation Serif" w:eastAsia="WenQuanYi Zen Hei Sharp" w:hAnsi="Liberation Serif" w:cs="Lohit Devanagari"/>
      <w:sz w:val="24"/>
      <w:szCs w:val="24"/>
      <w:lang w:val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gnawvCjnhjR5PWeiUD6Z1ItyIw==">CgMxLjA4AHIhMUdBT1FlVmo4MWEwakg4WmY5ZUZVNDF6cDRsNTBtcjYx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2025-03-17T08:43:00Z</dcterms:created>
  <dcterms:modified xsi:type="dcterms:W3CDTF">2025-03-17T08:43:00Z</dcterms:modified>
  <dc:language>en-GB</dc:language>
</cp:coreProperties>
</file>